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8B" w:rsidRPr="000E3984" w:rsidRDefault="00D3198B" w:rsidP="000E3984">
      <w:pPr>
        <w:pStyle w:val="Otsikko1"/>
        <w:rPr>
          <w:sz w:val="24"/>
          <w:szCs w:val="24"/>
        </w:rPr>
      </w:pPr>
      <w:r w:rsidRPr="000E3984">
        <w:rPr>
          <w:sz w:val="24"/>
          <w:szCs w:val="24"/>
        </w:rPr>
        <w:t>Hatbrott som behandlats vid tingsrätterna 2018</w:t>
      </w:r>
    </w:p>
    <w:p w:rsidR="000E3984" w:rsidRPr="000E3984" w:rsidRDefault="000E3984" w:rsidP="00D3198B">
      <w:pPr>
        <w:rPr>
          <w:sz w:val="24"/>
          <w:szCs w:val="24"/>
        </w:rPr>
      </w:pPr>
    </w:p>
    <w:p w:rsidR="008735FC" w:rsidRPr="000E3984" w:rsidRDefault="008735FC" w:rsidP="000E3984">
      <w:pPr>
        <w:pStyle w:val="Otsikko2"/>
        <w:rPr>
          <w:sz w:val="24"/>
          <w:szCs w:val="24"/>
        </w:rPr>
      </w:pPr>
      <w:r w:rsidRPr="000E3984">
        <w:rPr>
          <w:sz w:val="24"/>
          <w:szCs w:val="24"/>
        </w:rPr>
        <w:t>Utmaningar i uppföljningen av hatbrott</w:t>
      </w:r>
    </w:p>
    <w:p w:rsidR="000E3984" w:rsidRPr="000E3984" w:rsidRDefault="000E3984" w:rsidP="00D3198B">
      <w:pPr>
        <w:rPr>
          <w:sz w:val="24"/>
          <w:szCs w:val="24"/>
        </w:rPr>
      </w:pPr>
    </w:p>
    <w:p w:rsidR="00D3198B" w:rsidRPr="000E3984" w:rsidRDefault="000536FA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>Det har konstaterats att b</w:t>
      </w:r>
      <w:r w:rsidR="00D3198B" w:rsidRPr="000E3984">
        <w:rPr>
          <w:sz w:val="24"/>
          <w:szCs w:val="24"/>
        </w:rPr>
        <w:t>ristfällig uppföljning av hatbrott försvåra</w:t>
      </w:r>
      <w:r w:rsidRPr="000E3984">
        <w:rPr>
          <w:sz w:val="24"/>
          <w:szCs w:val="24"/>
        </w:rPr>
        <w:t>r</w:t>
      </w:r>
      <w:r w:rsidR="00D3198B" w:rsidRPr="000E3984">
        <w:rPr>
          <w:sz w:val="24"/>
          <w:szCs w:val="24"/>
        </w:rPr>
        <w:t xml:space="preserve"> den strategiska utvecklingen </w:t>
      </w:r>
      <w:r w:rsidRPr="000E3984">
        <w:rPr>
          <w:sz w:val="24"/>
          <w:szCs w:val="24"/>
        </w:rPr>
        <w:t>av</w:t>
      </w:r>
      <w:r w:rsidR="00D3198B" w:rsidRPr="000E3984">
        <w:rPr>
          <w:sz w:val="24"/>
          <w:szCs w:val="24"/>
        </w:rPr>
        <w:t xml:space="preserve"> verksamheten </w:t>
      </w:r>
      <w:r w:rsidRPr="000E3984">
        <w:rPr>
          <w:sz w:val="24"/>
          <w:szCs w:val="24"/>
        </w:rPr>
        <w:t>samt riktandet av åtgärderna för att motarbeta hatbrott.</w:t>
      </w:r>
      <w:r w:rsidR="00D3198B" w:rsidRPr="000E3984">
        <w:rPr>
          <w:sz w:val="24"/>
          <w:szCs w:val="24"/>
        </w:rPr>
        <w:t xml:space="preserve"> Som ett led i projektet </w:t>
      </w:r>
      <w:proofErr w:type="spellStart"/>
      <w:r w:rsidR="00D3198B" w:rsidRPr="000E3984">
        <w:rPr>
          <w:sz w:val="24"/>
          <w:szCs w:val="24"/>
        </w:rPr>
        <w:t>Against</w:t>
      </w:r>
      <w:proofErr w:type="spellEnd"/>
      <w:r w:rsidR="00D3198B" w:rsidRPr="000E3984">
        <w:rPr>
          <w:sz w:val="24"/>
          <w:szCs w:val="24"/>
        </w:rPr>
        <w:t xml:space="preserve"> Hate</w:t>
      </w:r>
      <w:r w:rsidRPr="000E3984">
        <w:rPr>
          <w:sz w:val="24"/>
          <w:szCs w:val="24"/>
        </w:rPr>
        <w:t>,</w:t>
      </w:r>
      <w:r w:rsidR="00D3198B" w:rsidRPr="000E3984">
        <w:rPr>
          <w:sz w:val="24"/>
          <w:szCs w:val="24"/>
        </w:rPr>
        <w:t xml:space="preserve"> som samordnas av justitieministeriet</w:t>
      </w:r>
      <w:r w:rsidRPr="000E3984">
        <w:rPr>
          <w:sz w:val="24"/>
          <w:szCs w:val="24"/>
        </w:rPr>
        <w:t>,</w:t>
      </w:r>
      <w:r w:rsidR="00D3198B" w:rsidRPr="000E3984">
        <w:rPr>
          <w:sz w:val="24"/>
          <w:szCs w:val="24"/>
        </w:rPr>
        <w:t xml:space="preserve"> ska statistikf</w:t>
      </w:r>
      <w:r w:rsidRPr="000E3984">
        <w:rPr>
          <w:sz w:val="24"/>
          <w:szCs w:val="24"/>
        </w:rPr>
        <w:t>öringen av hatbrott utvecklas. Den nuvarande u</w:t>
      </w:r>
      <w:r w:rsidR="00D3198B" w:rsidRPr="000E3984">
        <w:rPr>
          <w:sz w:val="24"/>
          <w:szCs w:val="24"/>
        </w:rPr>
        <w:t>ppföljningen av hatbrott behandlades närmare i promemorian ”Nuläget i fråga om rapporteringen av hatbrott och utmaningarna i uppföljningen” som gavs ut 2018 (på finska).</w:t>
      </w:r>
    </w:p>
    <w:p w:rsidR="00D3198B" w:rsidRPr="000E3984" w:rsidRDefault="008F1A9E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>H</w:t>
      </w:r>
      <w:r w:rsidR="00D3198B" w:rsidRPr="000E3984">
        <w:rPr>
          <w:sz w:val="24"/>
          <w:szCs w:val="24"/>
        </w:rPr>
        <w:t>atbrott som kommit till polisens kännedom har följts upp i över 20 år. Polisyrkeshögskolan publicerar årligen i oktober-november en rapport om det föregående årets brottsanmälan. I rapporterna finns mer detaljerad info</w:t>
      </w:r>
      <w:r w:rsidRPr="000E3984">
        <w:rPr>
          <w:sz w:val="24"/>
          <w:szCs w:val="24"/>
        </w:rPr>
        <w:t>rmation om uppföljningsmetoderna</w:t>
      </w:r>
      <w:r w:rsidR="00D3198B" w:rsidRPr="000E3984">
        <w:rPr>
          <w:sz w:val="24"/>
          <w:szCs w:val="24"/>
        </w:rPr>
        <w:t>.</w:t>
      </w:r>
    </w:p>
    <w:p w:rsidR="00D3198B" w:rsidRPr="000E3984" w:rsidRDefault="00D3198B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>När det gäller åklagarna och domstolarna finns det ingen statistik över hatbrott. Eftersom vilket som helst brott kan</w:t>
      </w:r>
      <w:r w:rsidR="008F1A9E" w:rsidRPr="000E3984">
        <w:rPr>
          <w:sz w:val="24"/>
          <w:szCs w:val="24"/>
        </w:rPr>
        <w:t xml:space="preserve"> vara et hatbrott, räcker det inte med statistiska uppgifter</w:t>
      </w:r>
      <w:r w:rsidRPr="000E3984">
        <w:rPr>
          <w:sz w:val="24"/>
          <w:szCs w:val="24"/>
        </w:rPr>
        <w:t xml:space="preserve"> enligt brottsbenämning</w:t>
      </w:r>
      <w:r w:rsidR="008F1A9E" w:rsidRPr="000E3984">
        <w:rPr>
          <w:sz w:val="24"/>
          <w:szCs w:val="24"/>
        </w:rPr>
        <w:t>. Det finns bara</w:t>
      </w:r>
      <w:r w:rsidRPr="000E3984">
        <w:rPr>
          <w:sz w:val="24"/>
          <w:szCs w:val="24"/>
        </w:rPr>
        <w:t xml:space="preserve"> några få brottsbenämningar (såsom hets mot folkgrupp)</w:t>
      </w:r>
      <w:r w:rsidR="008F1A9E" w:rsidRPr="000E3984">
        <w:rPr>
          <w:sz w:val="24"/>
          <w:szCs w:val="24"/>
        </w:rPr>
        <w:t>, som tydligt kan kategoriseras som hatbrott</w:t>
      </w:r>
      <w:r w:rsidRPr="000E3984">
        <w:rPr>
          <w:sz w:val="24"/>
          <w:szCs w:val="24"/>
        </w:rPr>
        <w:t xml:space="preserve">. </w:t>
      </w:r>
    </w:p>
    <w:p w:rsidR="00797B9F" w:rsidRPr="000E3984" w:rsidRDefault="00D3198B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 xml:space="preserve">Ur </w:t>
      </w:r>
      <w:proofErr w:type="spellStart"/>
      <w:r w:rsidRPr="000E3984">
        <w:rPr>
          <w:sz w:val="24"/>
          <w:szCs w:val="24"/>
        </w:rPr>
        <w:t>justitieförvaltningens</w:t>
      </w:r>
      <w:proofErr w:type="spellEnd"/>
      <w:r w:rsidRPr="000E3984">
        <w:rPr>
          <w:sz w:val="24"/>
          <w:szCs w:val="24"/>
        </w:rPr>
        <w:t xml:space="preserve"> rapporterings-, statistik- och arkivsystem </w:t>
      </w:r>
      <w:r w:rsidR="008F1A9E" w:rsidRPr="000E3984">
        <w:rPr>
          <w:sz w:val="24"/>
          <w:szCs w:val="24"/>
        </w:rPr>
        <w:t xml:space="preserve">kan man dock få fram alla </w:t>
      </w:r>
      <w:r w:rsidRPr="000E3984">
        <w:rPr>
          <w:sz w:val="24"/>
          <w:szCs w:val="24"/>
        </w:rPr>
        <w:t xml:space="preserve">de fall, som polisen har klassificerat med koden för hatbrott. Detta gäller både åklagarnas och tingsrätternas uppgifter. </w:t>
      </w:r>
    </w:p>
    <w:p w:rsidR="009A2753" w:rsidRPr="000E3984" w:rsidRDefault="00797B9F" w:rsidP="00797B9F">
      <w:pPr>
        <w:rPr>
          <w:sz w:val="24"/>
          <w:szCs w:val="24"/>
        </w:rPr>
      </w:pPr>
      <w:r w:rsidRPr="000E3984">
        <w:rPr>
          <w:sz w:val="24"/>
          <w:szCs w:val="24"/>
        </w:rPr>
        <w:t xml:space="preserve">För att utveckla rapporteringen av hatbrott </w:t>
      </w:r>
      <w:r w:rsidR="008F1A9E" w:rsidRPr="000E3984">
        <w:rPr>
          <w:sz w:val="24"/>
          <w:szCs w:val="24"/>
        </w:rPr>
        <w:t xml:space="preserve">har man för denna utredning </w:t>
      </w:r>
      <w:r w:rsidRPr="000E3984">
        <w:rPr>
          <w:sz w:val="24"/>
          <w:szCs w:val="24"/>
        </w:rPr>
        <w:t xml:space="preserve"> ur databasen beställt alla relevanta domar som meddelats under år 2018 och gått igenom dem under våren 2019.</w:t>
      </w:r>
    </w:p>
    <w:p w:rsidR="00D3198B" w:rsidRPr="000E3984" w:rsidRDefault="00D3198B" w:rsidP="000E3984">
      <w:pPr>
        <w:pStyle w:val="Otsikko2"/>
        <w:rPr>
          <w:sz w:val="24"/>
          <w:szCs w:val="24"/>
        </w:rPr>
      </w:pPr>
      <w:r w:rsidRPr="000E3984">
        <w:rPr>
          <w:sz w:val="24"/>
          <w:szCs w:val="24"/>
        </w:rPr>
        <w:t>Ärenden som gäller hets mot folkgrupp vid tingsrätterna år 2018</w:t>
      </w:r>
    </w:p>
    <w:p w:rsidR="009A2753" w:rsidRDefault="009A2753" w:rsidP="00D3198B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9A2753" w:rsidTr="009A2753">
        <w:tc>
          <w:tcPr>
            <w:tcW w:w="1375" w:type="dxa"/>
          </w:tcPr>
          <w:p w:rsidR="009A2753" w:rsidRPr="000E3984" w:rsidRDefault="009A2753" w:rsidP="009A2753">
            <w:pPr>
              <w:rPr>
                <w:sz w:val="24"/>
                <w:szCs w:val="24"/>
              </w:rPr>
            </w:pPr>
            <w:r w:rsidRPr="000E3984">
              <w:rPr>
                <w:sz w:val="24"/>
                <w:szCs w:val="24"/>
              </w:rPr>
              <w:t>År</w:t>
            </w:r>
          </w:p>
          <w:p w:rsidR="009A2753" w:rsidRDefault="009A2753" w:rsidP="00D3198B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9A2753" w:rsidRDefault="00CC2145" w:rsidP="00D3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375" w:type="dxa"/>
          </w:tcPr>
          <w:p w:rsidR="009A2753" w:rsidRDefault="00CC2145" w:rsidP="00D3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75" w:type="dxa"/>
          </w:tcPr>
          <w:p w:rsidR="009A2753" w:rsidRDefault="00CC2145" w:rsidP="00D3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76" w:type="dxa"/>
          </w:tcPr>
          <w:p w:rsidR="009A2753" w:rsidRDefault="00CC2145" w:rsidP="00D3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76" w:type="dxa"/>
          </w:tcPr>
          <w:p w:rsidR="009A2753" w:rsidRDefault="00CC2145" w:rsidP="00D3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376" w:type="dxa"/>
          </w:tcPr>
          <w:p w:rsidR="009A2753" w:rsidRDefault="00CC2145" w:rsidP="00D3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9A2753" w:rsidTr="009A2753">
        <w:tc>
          <w:tcPr>
            <w:tcW w:w="1375" w:type="dxa"/>
          </w:tcPr>
          <w:p w:rsidR="009A2753" w:rsidRPr="000E3984" w:rsidRDefault="009A2753" w:rsidP="009A2753">
            <w:pPr>
              <w:rPr>
                <w:sz w:val="24"/>
                <w:szCs w:val="24"/>
              </w:rPr>
            </w:pPr>
            <w:r w:rsidRPr="000E3984">
              <w:rPr>
                <w:sz w:val="24"/>
                <w:szCs w:val="24"/>
              </w:rPr>
              <w:t>Antal</w:t>
            </w:r>
          </w:p>
          <w:p w:rsidR="009A2753" w:rsidRDefault="009A2753" w:rsidP="00D3198B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9A2753" w:rsidRDefault="00566D75" w:rsidP="00D3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9A2753" w:rsidRDefault="00566D75" w:rsidP="00D3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5" w:type="dxa"/>
          </w:tcPr>
          <w:p w:rsidR="009A2753" w:rsidRDefault="00566D75" w:rsidP="00D3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9A2753" w:rsidRDefault="00566D75" w:rsidP="00D3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6" w:type="dxa"/>
          </w:tcPr>
          <w:p w:rsidR="009A2753" w:rsidRDefault="00566D75" w:rsidP="00D3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6" w:type="dxa"/>
          </w:tcPr>
          <w:p w:rsidR="009A2753" w:rsidRDefault="00566D75" w:rsidP="00D31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:rsidR="009A2753" w:rsidRDefault="009A2753" w:rsidP="00D3198B">
      <w:pPr>
        <w:rPr>
          <w:sz w:val="24"/>
          <w:szCs w:val="24"/>
        </w:rPr>
      </w:pPr>
    </w:p>
    <w:p w:rsidR="00D3198B" w:rsidRPr="000E3984" w:rsidRDefault="00D3198B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>I tabellen ovan syns antalet ärenden som gäller hets mot folkgrupp vid tingsrätterna under åren 2013-2018. Un</w:t>
      </w:r>
      <w:r w:rsidR="008F1A9E" w:rsidRPr="000E3984">
        <w:rPr>
          <w:sz w:val="24"/>
          <w:szCs w:val="24"/>
        </w:rPr>
        <w:t xml:space="preserve">der </w:t>
      </w:r>
      <w:r w:rsidRPr="000E3984">
        <w:rPr>
          <w:sz w:val="24"/>
          <w:szCs w:val="24"/>
        </w:rPr>
        <w:t>2018 meddelade tingsrätterna 31 domar där huvudbrottsrubriceringen var hets mot folkgrupp.</w:t>
      </w:r>
    </w:p>
    <w:p w:rsidR="00D3198B" w:rsidRPr="000E3984" w:rsidRDefault="00D3198B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>Enligt polisens anvi</w:t>
      </w:r>
      <w:bookmarkStart w:id="0" w:name="_GoBack"/>
      <w:bookmarkEnd w:id="0"/>
      <w:r w:rsidRPr="000E3984">
        <w:rPr>
          <w:sz w:val="24"/>
          <w:szCs w:val="24"/>
        </w:rPr>
        <w:t>sningar ska ett fall klassificeras som ett hatbrott om brottsbenämningen är hets mot folkgrupp. År 2018 hade polisen använt denna kod i 20 av dessa 31 fall.</w:t>
      </w:r>
    </w:p>
    <w:p w:rsidR="00D3198B" w:rsidRPr="000E3984" w:rsidRDefault="008F1A9E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>I alla utom ett fall</w:t>
      </w:r>
      <w:r w:rsidR="00D3198B" w:rsidRPr="000E3984">
        <w:rPr>
          <w:sz w:val="24"/>
          <w:szCs w:val="24"/>
        </w:rPr>
        <w:t xml:space="preserve"> dömdes svarandena i enlighet med åtalet. I ett av fallen förkastades åtalet delvis. </w:t>
      </w:r>
      <w:r w:rsidRPr="000E3984">
        <w:rPr>
          <w:sz w:val="24"/>
          <w:szCs w:val="24"/>
        </w:rPr>
        <w:t>Å</w:t>
      </w:r>
      <w:r w:rsidR="00D3198B" w:rsidRPr="000E3984">
        <w:rPr>
          <w:sz w:val="24"/>
          <w:szCs w:val="24"/>
        </w:rPr>
        <w:t xml:space="preserve">talet förkastades </w:t>
      </w:r>
      <w:r w:rsidRPr="000E3984">
        <w:rPr>
          <w:sz w:val="24"/>
          <w:szCs w:val="24"/>
        </w:rPr>
        <w:t xml:space="preserve">för den del det </w:t>
      </w:r>
      <w:r w:rsidR="00D3198B" w:rsidRPr="000E3984">
        <w:rPr>
          <w:sz w:val="24"/>
          <w:szCs w:val="24"/>
        </w:rPr>
        <w:t>gällde en trafikförseelse</w:t>
      </w:r>
      <w:r w:rsidRPr="000E3984">
        <w:rPr>
          <w:sz w:val="24"/>
          <w:szCs w:val="24"/>
        </w:rPr>
        <w:t>, men i fråga om</w:t>
      </w:r>
      <w:r w:rsidR="00D3198B" w:rsidRPr="000E3984">
        <w:rPr>
          <w:sz w:val="24"/>
          <w:szCs w:val="24"/>
        </w:rPr>
        <w:t xml:space="preserve"> åtalet </w:t>
      </w:r>
      <w:r w:rsidRPr="000E3984">
        <w:rPr>
          <w:sz w:val="24"/>
          <w:szCs w:val="24"/>
        </w:rPr>
        <w:t xml:space="preserve">som </w:t>
      </w:r>
      <w:r w:rsidR="00D3198B" w:rsidRPr="000E3984">
        <w:rPr>
          <w:sz w:val="24"/>
          <w:szCs w:val="24"/>
        </w:rPr>
        <w:t xml:space="preserve">gällde hets mot folkgrupp dömdes svaranden enligt åtalet. </w:t>
      </w:r>
    </w:p>
    <w:p w:rsidR="00D3198B" w:rsidRPr="000E3984" w:rsidRDefault="00D3198B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lastRenderedPageBreak/>
        <w:t>En klar majoritet av brotten hade begåtts på Facebook. Enligt domarna hade lagstridiga meddelanden spritts även via Twitter, Youtube, bloggat och tidskriften MV.</w:t>
      </w:r>
    </w:p>
    <w:p w:rsidR="00D3198B" w:rsidRPr="000E3984" w:rsidRDefault="00D3198B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 xml:space="preserve">I fallen som gällde hets mot folkgrupp var det fråga om etnisk bakgrund, religion eller en kombination av dessa två. I 18 fall var det fråga om både etnisk bakgrund och religion. I ett fall var det förutom etnisk bakgrund och religion även fråga om sexuell läggning. Av religioner </w:t>
      </w:r>
      <w:r w:rsidR="008F1A9E" w:rsidRPr="000E3984">
        <w:rPr>
          <w:sz w:val="24"/>
          <w:szCs w:val="24"/>
        </w:rPr>
        <w:t xml:space="preserve">var det oftast fråga om </w:t>
      </w:r>
      <w:r w:rsidRPr="000E3984">
        <w:rPr>
          <w:sz w:val="24"/>
          <w:szCs w:val="24"/>
        </w:rPr>
        <w:t>islam</w:t>
      </w:r>
      <w:r w:rsidR="008F1A9E" w:rsidRPr="000E3984">
        <w:rPr>
          <w:sz w:val="24"/>
          <w:szCs w:val="24"/>
        </w:rPr>
        <w:t>,</w:t>
      </w:r>
      <w:r w:rsidRPr="000E3984">
        <w:rPr>
          <w:sz w:val="24"/>
          <w:szCs w:val="24"/>
        </w:rPr>
        <w:t xml:space="preserve"> men vissa domar gällde även judendom och laestadianism. </w:t>
      </w:r>
    </w:p>
    <w:p w:rsidR="00D3198B" w:rsidRPr="000E3984" w:rsidRDefault="00D3198B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 xml:space="preserve">Vid bedömningen av straffpåföljderna </w:t>
      </w:r>
      <w:r w:rsidR="0054524C" w:rsidRPr="000E3984">
        <w:rPr>
          <w:sz w:val="24"/>
          <w:szCs w:val="24"/>
        </w:rPr>
        <w:t>bör</w:t>
      </w:r>
      <w:r w:rsidRPr="000E3984">
        <w:rPr>
          <w:sz w:val="24"/>
          <w:szCs w:val="24"/>
        </w:rPr>
        <w:t xml:space="preserve"> det beaktas att </w:t>
      </w:r>
      <w:r w:rsidR="0054524C" w:rsidRPr="000E3984">
        <w:rPr>
          <w:sz w:val="24"/>
          <w:szCs w:val="24"/>
        </w:rPr>
        <w:t xml:space="preserve">vissa av fallen omfattar </w:t>
      </w:r>
      <w:r w:rsidRPr="000E3984">
        <w:rPr>
          <w:sz w:val="24"/>
          <w:szCs w:val="24"/>
        </w:rPr>
        <w:t xml:space="preserve">även andra brottsbenämningar än hets mot folkgrupp (såsom bl.a. ärekränkning eller brott mot trosfrid). Antalet dagsböter varierade mellan 6 och 80. I de domar som gällde hets mot folkgrupp dömdes svaranden i genomsnitt till 41 dagsböter.  </w:t>
      </w:r>
    </w:p>
    <w:p w:rsidR="00D3198B" w:rsidRPr="000E3984" w:rsidRDefault="00D3198B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>Bland dessa domar fanns tre fall där svaranden dömdes till fängelse.  I två av domarna gällde åtalet enbart hets mot folkgrupp. I båda fallen var straffpåföljden 30 dagar i fängelse.</w:t>
      </w:r>
    </w:p>
    <w:p w:rsidR="00D3198B" w:rsidRPr="000E3984" w:rsidRDefault="00D3198B" w:rsidP="000E3984">
      <w:pPr>
        <w:pStyle w:val="Otsikko2"/>
        <w:rPr>
          <w:sz w:val="24"/>
          <w:szCs w:val="24"/>
        </w:rPr>
      </w:pPr>
      <w:r w:rsidRPr="000E3984">
        <w:rPr>
          <w:sz w:val="24"/>
          <w:szCs w:val="24"/>
        </w:rPr>
        <w:t>Ärenden som polisen klassificerat som hatbrott vid tingsrätterna 2018</w:t>
      </w:r>
    </w:p>
    <w:p w:rsidR="00CC2145" w:rsidRDefault="00CC2145" w:rsidP="00D3198B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CC2145" w:rsidTr="00476444">
        <w:tc>
          <w:tcPr>
            <w:tcW w:w="1375" w:type="dxa"/>
          </w:tcPr>
          <w:p w:rsidR="00CC2145" w:rsidRPr="000E3984" w:rsidRDefault="00CC2145" w:rsidP="00476444">
            <w:pPr>
              <w:rPr>
                <w:sz w:val="24"/>
                <w:szCs w:val="24"/>
              </w:rPr>
            </w:pPr>
            <w:r w:rsidRPr="000E3984">
              <w:rPr>
                <w:sz w:val="24"/>
                <w:szCs w:val="24"/>
              </w:rPr>
              <w:t>År</w:t>
            </w:r>
          </w:p>
          <w:p w:rsidR="00CC2145" w:rsidRDefault="00CC2145" w:rsidP="0047644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CC2145" w:rsidRDefault="00CC2145" w:rsidP="00476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375" w:type="dxa"/>
          </w:tcPr>
          <w:p w:rsidR="00CC2145" w:rsidRDefault="00CC2145" w:rsidP="00476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75" w:type="dxa"/>
          </w:tcPr>
          <w:p w:rsidR="00CC2145" w:rsidRDefault="00CC2145" w:rsidP="00476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76" w:type="dxa"/>
          </w:tcPr>
          <w:p w:rsidR="00CC2145" w:rsidRDefault="00CC2145" w:rsidP="00476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76" w:type="dxa"/>
          </w:tcPr>
          <w:p w:rsidR="00CC2145" w:rsidRDefault="00CC2145" w:rsidP="00476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376" w:type="dxa"/>
          </w:tcPr>
          <w:p w:rsidR="00CC2145" w:rsidRDefault="00CC2145" w:rsidP="00476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CC2145" w:rsidTr="00476444">
        <w:tc>
          <w:tcPr>
            <w:tcW w:w="1375" w:type="dxa"/>
          </w:tcPr>
          <w:p w:rsidR="00CC2145" w:rsidRPr="000E3984" w:rsidRDefault="00CC2145" w:rsidP="00476444">
            <w:pPr>
              <w:rPr>
                <w:sz w:val="24"/>
                <w:szCs w:val="24"/>
              </w:rPr>
            </w:pPr>
            <w:r w:rsidRPr="000E3984">
              <w:rPr>
                <w:sz w:val="24"/>
                <w:szCs w:val="24"/>
              </w:rPr>
              <w:t>Antal</w:t>
            </w:r>
          </w:p>
          <w:p w:rsidR="00CC2145" w:rsidRDefault="00CC2145" w:rsidP="0047644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CC2145" w:rsidRDefault="00566D75" w:rsidP="00476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75" w:type="dxa"/>
          </w:tcPr>
          <w:p w:rsidR="00CC2145" w:rsidRDefault="00566D75" w:rsidP="00476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75" w:type="dxa"/>
          </w:tcPr>
          <w:p w:rsidR="00CC2145" w:rsidRDefault="00566D75" w:rsidP="00476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76" w:type="dxa"/>
          </w:tcPr>
          <w:p w:rsidR="00CC2145" w:rsidRDefault="00566D75" w:rsidP="00476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76" w:type="dxa"/>
          </w:tcPr>
          <w:p w:rsidR="00CC2145" w:rsidRDefault="00566D75" w:rsidP="00476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376" w:type="dxa"/>
          </w:tcPr>
          <w:p w:rsidR="00CC2145" w:rsidRDefault="00566D75" w:rsidP="004764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</w:tbl>
    <w:p w:rsidR="00CC2145" w:rsidRDefault="00CC2145" w:rsidP="00D3198B">
      <w:pPr>
        <w:rPr>
          <w:sz w:val="24"/>
          <w:szCs w:val="24"/>
        </w:rPr>
      </w:pPr>
    </w:p>
    <w:p w:rsidR="00D3198B" w:rsidRPr="000E3984" w:rsidRDefault="00D3198B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>I tabellen ovan har man samlat tingsrättens domar i ärenden som polisen antecknat med koden för hatbrott under åren 2013-2018.</w:t>
      </w:r>
    </w:p>
    <w:p w:rsidR="00D3198B" w:rsidRPr="000E3984" w:rsidRDefault="00D3198B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>År 2018 meddelade tingsrätterna 55 domar i ärenden som polisen klassificerat som hatbrott. I 20 av dessa ärenden var huvudbrottsrubriceringen hets mot folkgrupp.  Dessa har behandlats ovan i samband med domarna för hets mot folkgrupp. Bland domarna fanns 9 fall, där man ingått förlikning, förkastat åtalet eller förenat fallet med något annat. Efter det kvarstår 26 fall.</w:t>
      </w:r>
    </w:p>
    <w:p w:rsidR="00D3198B" w:rsidRPr="000E3984" w:rsidRDefault="0054524C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 xml:space="preserve">I 16 av </w:t>
      </w:r>
      <w:r w:rsidR="00D3198B" w:rsidRPr="000E3984">
        <w:rPr>
          <w:sz w:val="24"/>
          <w:szCs w:val="24"/>
        </w:rPr>
        <w:t xml:space="preserve">dessa 26 fall var huvudbrottsrubriceringen misshandel och i 5 </w:t>
      </w:r>
      <w:r w:rsidRPr="000E3984">
        <w:rPr>
          <w:sz w:val="24"/>
          <w:szCs w:val="24"/>
        </w:rPr>
        <w:t>fall</w:t>
      </w:r>
      <w:r w:rsidR="00D3198B" w:rsidRPr="000E3984">
        <w:rPr>
          <w:sz w:val="24"/>
          <w:szCs w:val="24"/>
        </w:rPr>
        <w:t xml:space="preserve"> olaga hot.</w:t>
      </w:r>
    </w:p>
    <w:p w:rsidR="00D3198B" w:rsidRPr="000E3984" w:rsidRDefault="00D3198B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>I under hälften av dessa 26 fall fanns det information om gärningsmannens motiv</w:t>
      </w:r>
      <w:r w:rsidR="0054524C" w:rsidRPr="000E3984">
        <w:rPr>
          <w:sz w:val="24"/>
          <w:szCs w:val="24"/>
        </w:rPr>
        <w:t xml:space="preserve"> i domen</w:t>
      </w:r>
      <w:r w:rsidRPr="000E3984">
        <w:rPr>
          <w:sz w:val="24"/>
          <w:szCs w:val="24"/>
        </w:rPr>
        <w:t>. Detta betyder att det i största delen av fallen inte går att få uppgifter (utan förundersökningsmaterialet</w:t>
      </w:r>
      <w:r w:rsidR="0054524C" w:rsidRPr="000E3984">
        <w:rPr>
          <w:sz w:val="24"/>
          <w:szCs w:val="24"/>
        </w:rPr>
        <w:t xml:space="preserve"> </w:t>
      </w:r>
      <w:r w:rsidRPr="000E3984">
        <w:rPr>
          <w:sz w:val="24"/>
          <w:szCs w:val="24"/>
        </w:rPr>
        <w:t>/</w:t>
      </w:r>
      <w:r w:rsidR="0054524C" w:rsidRPr="000E3984">
        <w:rPr>
          <w:sz w:val="24"/>
          <w:szCs w:val="24"/>
        </w:rPr>
        <w:t xml:space="preserve"> </w:t>
      </w:r>
      <w:r w:rsidRPr="000E3984">
        <w:rPr>
          <w:sz w:val="24"/>
          <w:szCs w:val="24"/>
        </w:rPr>
        <w:t>stämningsansökan) om varför polisen har klassificerat ärendet som ett hatbrott. Därför kan till exempel den antagna diskrimineringsgrunden enbart i en liten del av fallen på ett pålitligt sätt utredas bara genom att läsa domen. I en klar majoritet av de fall där hatmotivet ingick i domen var det fråga om etnisk bakgrund.  I ett fall var det dessutom fråga om religion och i ett fall om sexuell läggning.</w:t>
      </w:r>
    </w:p>
    <w:p w:rsidR="00797B9F" w:rsidRPr="000E3984" w:rsidRDefault="00D3198B" w:rsidP="00D3198B">
      <w:pPr>
        <w:rPr>
          <w:sz w:val="24"/>
          <w:szCs w:val="24"/>
        </w:rPr>
      </w:pPr>
      <w:r w:rsidRPr="000E3984">
        <w:rPr>
          <w:sz w:val="24"/>
          <w:szCs w:val="24"/>
        </w:rPr>
        <w:t xml:space="preserve">I 9 av dessa 26 fall hade man yrkat på skärpning av domen på grund av hatmotivet.  I fyra fall skärpte tingsrätten domen. I två av fallen gällde hatmotivet etnisk bakgrund, i ett </w:t>
      </w:r>
      <w:r w:rsidR="0054524C" w:rsidRPr="000E3984">
        <w:rPr>
          <w:sz w:val="24"/>
          <w:szCs w:val="24"/>
        </w:rPr>
        <w:t xml:space="preserve">fall </w:t>
      </w:r>
      <w:r w:rsidRPr="000E3984">
        <w:rPr>
          <w:sz w:val="24"/>
          <w:szCs w:val="24"/>
        </w:rPr>
        <w:t xml:space="preserve">religion och i ett </w:t>
      </w:r>
      <w:r w:rsidR="0054524C" w:rsidRPr="000E3984">
        <w:rPr>
          <w:sz w:val="24"/>
          <w:szCs w:val="24"/>
        </w:rPr>
        <w:t xml:space="preserve">fall </w:t>
      </w:r>
      <w:r w:rsidRPr="000E3984">
        <w:rPr>
          <w:sz w:val="24"/>
          <w:szCs w:val="24"/>
        </w:rPr>
        <w:t>sexuell läggning.</w:t>
      </w:r>
    </w:p>
    <w:p w:rsidR="00797B9F" w:rsidRPr="000E3984" w:rsidRDefault="00797B9F" w:rsidP="00D3198B">
      <w:pPr>
        <w:rPr>
          <w:sz w:val="24"/>
          <w:szCs w:val="24"/>
        </w:rPr>
      </w:pPr>
    </w:p>
    <w:sectPr w:rsidR="00797B9F" w:rsidRPr="000E39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8B"/>
    <w:rsid w:val="0003230F"/>
    <w:rsid w:val="000536FA"/>
    <w:rsid w:val="000E3984"/>
    <w:rsid w:val="0054524C"/>
    <w:rsid w:val="00566D75"/>
    <w:rsid w:val="006148FC"/>
    <w:rsid w:val="00626F03"/>
    <w:rsid w:val="00797B9F"/>
    <w:rsid w:val="007B30BD"/>
    <w:rsid w:val="008735FC"/>
    <w:rsid w:val="008F1A9E"/>
    <w:rsid w:val="009A2753"/>
    <w:rsid w:val="00B72B5B"/>
    <w:rsid w:val="00C233BA"/>
    <w:rsid w:val="00CC2145"/>
    <w:rsid w:val="00D3198B"/>
    <w:rsid w:val="00DE584D"/>
    <w:rsid w:val="00F4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32A9"/>
  <w15:chartTrackingRefBased/>
  <w15:docId w15:val="{B114B771-D509-48FE-B0E3-A7C3474C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E39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E39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E39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0E39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ulukkoRuudukko">
    <w:name w:val="Table Grid"/>
    <w:basedOn w:val="Normaalitaulukko"/>
    <w:uiPriority w:val="39"/>
    <w:rsid w:val="009A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8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536</Words>
  <Characters>4344</Characters>
  <Application>Microsoft Office Word</Application>
  <DocSecurity>0</DocSecurity>
  <Lines>36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Hatbrott 2018</vt:lpstr>
      <vt:lpstr/>
    </vt:vector>
  </TitlesOfParts>
  <Company>Suomen valtion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Hatbrott 2018</dc:title>
  <dc:subject/>
  <dc:creator>Aaltonen Milla</dc:creator>
  <cp:keywords/>
  <dc:description/>
  <cp:lastModifiedBy>Aaltonen Milla</cp:lastModifiedBy>
  <cp:revision>7</cp:revision>
  <dcterms:created xsi:type="dcterms:W3CDTF">2019-06-05T11:23:00Z</dcterms:created>
  <dcterms:modified xsi:type="dcterms:W3CDTF">2019-06-06T07:44:00Z</dcterms:modified>
</cp:coreProperties>
</file>